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山东理工大学电气与电子工程学院</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第四次学生代表大会名额分配方案</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及代表推选方法说明</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本次学代会代表拟</w:t>
      </w:r>
      <w:r>
        <w:rPr>
          <w:rFonts w:hint="default" w:ascii="Times New Roman" w:hAnsi="Times New Roman" w:eastAsia="仿宋_GB2312" w:cs="Times New Roman"/>
          <w:color w:val="000000" w:themeColor="text1"/>
          <w:sz w:val="32"/>
          <w:szCs w:val="32"/>
          <w14:textFill>
            <w14:solidFill>
              <w14:schemeClr w14:val="tx1"/>
            </w14:solidFill>
          </w14:textFill>
        </w:rPr>
        <w:t>定374名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根据山东理工大学第四次学生代表大会名额分配表，电气学院共</w:t>
      </w:r>
      <w:r>
        <w:rPr>
          <w:rFonts w:hint="eastAsia" w:ascii="Times New Roman" w:hAnsi="Times New Roman" w:eastAsia="仿宋_GB2312" w:cs="Times New Roman"/>
          <w:sz w:val="32"/>
          <w:szCs w:val="32"/>
          <w:lang w:val="en-US" w:eastAsia="zh-CN"/>
        </w:rPr>
        <w:t>推选</w:t>
      </w:r>
      <w:r>
        <w:rPr>
          <w:rFonts w:hint="default" w:ascii="Times New Roman" w:hAnsi="Times New Roman" w:eastAsia="仿宋_GB2312" w:cs="Times New Roman"/>
          <w:sz w:val="32"/>
          <w:szCs w:val="32"/>
          <w:lang w:val="en-US" w:eastAsia="zh-CN"/>
        </w:rPr>
        <w:t>30名学生代表，</w:t>
      </w:r>
      <w:r>
        <w:rPr>
          <w:rFonts w:hint="default" w:ascii="Times New Roman" w:hAnsi="Times New Roman" w:eastAsia="仿宋_GB2312" w:cs="Times New Roman"/>
          <w:sz w:val="32"/>
          <w:szCs w:val="32"/>
        </w:rPr>
        <w:t>约占全</w:t>
      </w:r>
      <w:r>
        <w:rPr>
          <w:rFonts w:hint="default" w:ascii="Times New Roman" w:hAnsi="Times New Roman" w:eastAsia="仿宋_GB2312" w:cs="Times New Roman"/>
          <w:sz w:val="32"/>
          <w:szCs w:val="32"/>
          <w:lang w:val="en-US" w:eastAsia="zh-CN"/>
        </w:rPr>
        <w:t>院学生</w:t>
      </w:r>
      <w:r>
        <w:rPr>
          <w:rFonts w:hint="default" w:ascii="Times New Roman" w:hAnsi="Times New Roman" w:eastAsia="仿宋_GB2312" w:cs="Times New Roman"/>
          <w:sz w:val="32"/>
          <w:szCs w:val="32"/>
        </w:rPr>
        <w:t>人数的1%。</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学生</w:t>
      </w:r>
      <w:r>
        <w:rPr>
          <w:rFonts w:hint="default" w:ascii="Times New Roman" w:hAnsi="Times New Roman" w:eastAsia="黑体" w:cs="Times New Roman"/>
          <w:sz w:val="32"/>
          <w:szCs w:val="32"/>
        </w:rPr>
        <w:t>代表条件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凡拥护党的路线、方针、政策，品学兼优，在同学中威信较高，能代表广大同学意愿、热心为同学服务的在校本科生和专科生均有资格当选山东理工大学第四次学生代表大会代表。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二、学生代表候选人产生办法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学生代表候选人选举采用评议小组评议的形式，</w:t>
      </w:r>
      <w:r>
        <w:rPr>
          <w:rFonts w:hint="eastAsia" w:ascii="Times New Roman" w:hAnsi="Times New Roman" w:eastAsia="仿宋_GB2312" w:cs="Times New Roman"/>
          <w:sz w:val="32"/>
          <w:szCs w:val="32"/>
          <w:lang w:val="en-US" w:eastAsia="zh-CN"/>
        </w:rPr>
        <w:t>由一名老师与30名学生组成，分别对学生干部组和普通学生组进行评议，通过对报名同学打分，最终按照比例，选出36名学生代表候选人。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三、学生代表产生办法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评议小组推举出36名学生代表候选人后，学生会相关工作人员将以短信或电话形式及时对候选人进行通知，请成功竞选为学生代表候选人的同学准备1张PPT（自我介绍、个人优势）以及1分钟演讲，具体竞选时间、地点另行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36名学生代表候选人经过面试竞选，</w:t>
      </w:r>
      <w:r>
        <w:rPr>
          <w:rFonts w:hint="eastAsia" w:ascii="Times New Roman" w:hAnsi="Times New Roman" w:eastAsia="仿宋_GB2312" w:cs="Times New Roman"/>
          <w:sz w:val="32"/>
          <w:szCs w:val="32"/>
          <w:lang w:val="en-US" w:eastAsia="zh-CN"/>
        </w:rPr>
        <w:t>大众评审团</w:t>
      </w:r>
      <w:r>
        <w:rPr>
          <w:rFonts w:hint="default" w:ascii="Times New Roman" w:hAnsi="Times New Roman" w:eastAsia="仿宋_GB2312" w:cs="Times New Roman"/>
          <w:sz w:val="32"/>
          <w:szCs w:val="32"/>
          <w:lang w:val="en-US" w:eastAsia="zh-CN"/>
        </w:rPr>
        <w:t>以无记名投票和差额选举的方式最终产生30名学生代表，并将学生代表名单加盖公章进行公示。30名学生代表将代表</w:t>
      </w:r>
      <w:r>
        <w:rPr>
          <w:rFonts w:hint="eastAsia" w:ascii="Times New Roman" w:hAnsi="Times New Roman" w:eastAsia="仿宋_GB2312" w:cs="Times New Roman"/>
          <w:sz w:val="32"/>
          <w:szCs w:val="32"/>
          <w:lang w:val="en-US" w:eastAsia="zh-CN"/>
        </w:rPr>
        <w:t>电气</w:t>
      </w:r>
      <w:r>
        <w:rPr>
          <w:rFonts w:hint="default" w:ascii="Times New Roman" w:hAnsi="Times New Roman" w:eastAsia="仿宋_GB2312" w:cs="Times New Roman"/>
          <w:sz w:val="32"/>
          <w:szCs w:val="32"/>
          <w:lang w:val="en-US" w:eastAsia="zh-CN"/>
        </w:rPr>
        <w:t>学院全体学生参加山东理工大学第四次学生代表大会。</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学生代表</w:t>
      </w:r>
      <w:r>
        <w:rPr>
          <w:rFonts w:hint="eastAsia" w:ascii="Times New Roman" w:hAnsi="Times New Roman" w:eastAsia="黑体" w:cs="Times New Roman"/>
          <w:sz w:val="32"/>
          <w:szCs w:val="32"/>
          <w:lang w:val="en-US" w:eastAsia="zh-CN"/>
        </w:rPr>
        <w:t>候选人</w:t>
      </w:r>
      <w:r>
        <w:rPr>
          <w:rFonts w:hint="default" w:ascii="Times New Roman" w:hAnsi="Times New Roman" w:eastAsia="黑体" w:cs="Times New Roman"/>
          <w:sz w:val="32"/>
          <w:szCs w:val="32"/>
          <w:lang w:val="en-US" w:eastAsia="zh-CN"/>
        </w:rPr>
        <w:t>不同类组及名额分配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根据学院学生干部与普通学生的比例，对学生干部候选人进行如下分组。</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学生干部组</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名）</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普通同学组</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五、注意事项</w:t>
      </w:r>
    </w:p>
    <w:p>
      <w:pPr>
        <w:keepNext w:val="0"/>
        <w:keepLines w:val="0"/>
        <w:pageBreakBefore w:val="0"/>
        <w:widowControl w:val="0"/>
        <w:numPr>
          <w:ilvl w:val="0"/>
          <w:numId w:val="3"/>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请有意竞选学生代表的同学务必仔细填写报名表，并在表中指定位置填写好竞选组别，工作人员将会根据竞选组别进行分类整理，</w:t>
      </w:r>
      <w:r>
        <w:rPr>
          <w:rFonts w:hint="eastAsia" w:ascii="Times New Roman" w:hAnsi="Times New Roman" w:eastAsia="仿宋_GB2312" w:cs="Times New Roman"/>
          <w:sz w:val="32"/>
          <w:szCs w:val="32"/>
          <w:lang w:val="en-US" w:eastAsia="zh-CN"/>
        </w:rPr>
        <w:t>学生干部不允许竞选普通同学组</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收表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时间：5月12日（本周六）下午14:00-17:00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地点：13号教学楼456学生会办公室</w:t>
      </w:r>
    </w:p>
    <w:p>
      <w:pPr>
        <w:keepNext w:val="0"/>
        <w:keepLines w:val="0"/>
        <w:pageBreakBefore w:val="0"/>
        <w:widowControl w:val="0"/>
        <w:numPr>
          <w:ilvl w:val="0"/>
          <w:numId w:val="4"/>
        </w:numPr>
        <w:kinsoku/>
        <w:wordWrap/>
        <w:overflowPunct/>
        <w:topLinePunct w:val="0"/>
        <w:autoSpaceDE/>
        <w:autoSpaceDN/>
        <w:bidi w:val="0"/>
        <w:adjustRightInd w:val="0"/>
        <w:snapToGrid w:val="0"/>
        <w:spacing w:line="576" w:lineRule="exact"/>
        <w:ind w:left="0" w:leftChars="0" w:right="0" w:rightChars="0"/>
        <w:jc w:val="both"/>
        <w:textAlignment w:val="auto"/>
        <w:outlineLvl w:val="9"/>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color w:val="FF0000"/>
          <w:sz w:val="32"/>
          <w:szCs w:val="32"/>
          <w:lang w:val="en-US" w:eastAsia="zh-CN"/>
        </w:rPr>
        <w:t>特殊说明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right="0" w:rightChars="0"/>
        <w:jc w:val="both"/>
        <w:textAlignment w:val="auto"/>
        <w:outlineLvl w:val="9"/>
        <w:rPr>
          <w:rFonts w:hint="default"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color w:val="FF0000"/>
          <w:sz w:val="32"/>
          <w:szCs w:val="32"/>
          <w:lang w:val="en-US" w:eastAsia="zh-CN"/>
        </w:rPr>
        <w:t xml:space="preserve">    在学校的学代会举办的同时，学院也要组织建立院学生代表团队，所以大一、大二各班在保证班级同学自由报名的情况下，推选一名学生作为学院学代会代表，参与之后学院关于维权、学院建设等问题的讨论，并由班长或团支书填写班级推荐意见，非本班推荐同学不需填写班级推荐意见。班级推荐同学与非推荐同学同时具有竞选校学代会代表的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jc w:val="both"/>
        <w:textAlignment w:val="auto"/>
        <w:outlineLvl w:val="9"/>
        <w:rPr>
          <w:rFonts w:hint="eastAsia" w:ascii="仿宋_GB2312" w:hAnsi="仿宋_GB2312" w:eastAsia="仿宋_GB2312" w:cs="仿宋_GB2312"/>
          <w:sz w:val="32"/>
          <w:szCs w:val="36"/>
          <w:lang w:val="en-US" w:eastAsia="zh-CN"/>
        </w:rPr>
      </w:pPr>
      <w:bookmarkStart w:id="0" w:name="_GoBack"/>
      <w:bookmarkEnd w:id="0"/>
      <w:r>
        <w:rPr>
          <w:rFonts w:hint="eastAsia" w:ascii="仿宋_GB2312" w:hAnsi="仿宋_GB2312" w:eastAsia="仿宋_GB2312" w:cs="仿宋_GB2312"/>
          <w:sz w:val="32"/>
          <w:szCs w:val="36"/>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jc w:val="center"/>
        <w:textAlignment w:val="auto"/>
        <w:outlineLvl w:val="9"/>
        <w:rPr>
          <w:rFonts w:hint="eastAsia" w:ascii="方正小标宋简体" w:eastAsia="方正小标宋简体"/>
          <w:sz w:val="40"/>
          <w:szCs w:val="44"/>
          <w:lang w:val="en-US" w:eastAsia="zh-CN"/>
        </w:rPr>
      </w:pPr>
      <w:r>
        <w:rPr>
          <w:rFonts w:hint="eastAsia" w:ascii="方正小标宋简体" w:eastAsia="方正小标宋简体"/>
          <w:sz w:val="40"/>
          <w:szCs w:val="44"/>
        </w:rPr>
        <w:t>山东理工大学</w:t>
      </w:r>
      <w:r>
        <w:rPr>
          <w:rFonts w:hint="eastAsia" w:ascii="方正小标宋简体" w:eastAsia="方正小标宋简体"/>
          <w:sz w:val="40"/>
          <w:szCs w:val="44"/>
          <w:lang w:val="en-US" w:eastAsia="zh-CN"/>
        </w:rPr>
        <w:t>第四次学代会学生代表竞选表</w:t>
      </w:r>
    </w:p>
    <w:tbl>
      <w:tblPr>
        <w:tblStyle w:val="4"/>
        <w:tblW w:w="87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984"/>
        <w:gridCol w:w="1418"/>
        <w:gridCol w:w="1871"/>
        <w:gridCol w:w="37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tabs>
                <w:tab w:val="left" w:pos="915"/>
              </w:tabs>
              <w:jc w:val="center"/>
              <w:rPr>
                <w:rFonts w:ascii="仿宋_GB2312" w:eastAsia="仿宋_GB2312"/>
                <w:sz w:val="28"/>
              </w:rPr>
            </w:pPr>
            <w:r>
              <w:rPr>
                <w:rFonts w:hint="eastAsia" w:ascii="仿宋_GB2312" w:eastAsia="仿宋_GB2312"/>
                <w:sz w:val="28"/>
              </w:rPr>
              <w:t>姓    名</w:t>
            </w:r>
          </w:p>
        </w:tc>
        <w:tc>
          <w:tcPr>
            <w:tcW w:w="1984" w:type="dxa"/>
          </w:tcPr>
          <w:p>
            <w:pPr>
              <w:jc w:val="center"/>
              <w:rPr>
                <w:rFonts w:ascii="仿宋_GB2312" w:eastAsia="仿宋_GB2312"/>
                <w:sz w:val="28"/>
              </w:rPr>
            </w:pPr>
          </w:p>
        </w:tc>
        <w:tc>
          <w:tcPr>
            <w:tcW w:w="1418" w:type="dxa"/>
          </w:tcPr>
          <w:p>
            <w:pPr>
              <w:jc w:val="center"/>
              <w:rPr>
                <w:rFonts w:ascii="仿宋_GB2312" w:eastAsia="仿宋_GB2312"/>
                <w:sz w:val="28"/>
              </w:rPr>
            </w:pPr>
            <w:r>
              <w:rPr>
                <w:rFonts w:hint="eastAsia" w:ascii="仿宋_GB2312" w:eastAsia="仿宋_GB2312"/>
                <w:sz w:val="28"/>
              </w:rPr>
              <w:t>性    别</w:t>
            </w:r>
          </w:p>
        </w:tc>
        <w:tc>
          <w:tcPr>
            <w:tcW w:w="1871" w:type="dxa"/>
          </w:tcPr>
          <w:p>
            <w:pPr>
              <w:jc w:val="center"/>
              <w:rPr>
                <w:rFonts w:ascii="仿宋_GB2312" w:eastAsia="仿宋_GB2312"/>
                <w:sz w:val="28"/>
              </w:rPr>
            </w:pPr>
          </w:p>
        </w:tc>
        <w:tc>
          <w:tcPr>
            <w:tcW w:w="2035" w:type="dxa"/>
            <w:gridSpan w:val="2"/>
            <w:vMerge w:val="restart"/>
            <w:textDirection w:val="tbRlV"/>
            <w:vAlign w:val="center"/>
          </w:tcPr>
          <w:p>
            <w:pPr>
              <w:ind w:left="113" w:right="113"/>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jc w:val="center"/>
              <w:rPr>
                <w:rFonts w:ascii="仿宋_GB2312" w:eastAsia="仿宋_GB2312"/>
                <w:sz w:val="28"/>
              </w:rPr>
            </w:pPr>
            <w:r>
              <w:rPr>
                <w:rFonts w:hint="eastAsia" w:ascii="仿宋_GB2312" w:eastAsia="仿宋_GB2312"/>
                <w:sz w:val="28"/>
              </w:rPr>
              <w:t>政治面貌</w:t>
            </w:r>
          </w:p>
        </w:tc>
        <w:tc>
          <w:tcPr>
            <w:tcW w:w="1984" w:type="dxa"/>
          </w:tcPr>
          <w:p>
            <w:pPr>
              <w:jc w:val="center"/>
              <w:rPr>
                <w:rFonts w:ascii="仿宋_GB2312" w:eastAsia="仿宋_GB2312"/>
                <w:sz w:val="28"/>
              </w:rPr>
            </w:pPr>
          </w:p>
        </w:tc>
        <w:tc>
          <w:tcPr>
            <w:tcW w:w="1418" w:type="dxa"/>
          </w:tcPr>
          <w:p>
            <w:pPr>
              <w:jc w:val="center"/>
              <w:rPr>
                <w:rFonts w:ascii="仿宋_GB2312" w:eastAsia="仿宋_GB2312"/>
                <w:sz w:val="28"/>
              </w:rPr>
            </w:pPr>
            <w:r>
              <w:rPr>
                <w:rFonts w:hint="eastAsia" w:ascii="仿宋_GB2312" w:eastAsia="仿宋_GB2312"/>
                <w:sz w:val="28"/>
              </w:rPr>
              <w:t>民    族</w:t>
            </w:r>
          </w:p>
        </w:tc>
        <w:tc>
          <w:tcPr>
            <w:tcW w:w="1871" w:type="dxa"/>
          </w:tcPr>
          <w:p>
            <w:pPr>
              <w:jc w:val="center"/>
              <w:rPr>
                <w:rFonts w:ascii="仿宋_GB2312" w:eastAsia="仿宋_GB2312"/>
                <w:sz w:val="28"/>
              </w:rPr>
            </w:pPr>
          </w:p>
        </w:tc>
        <w:tc>
          <w:tcPr>
            <w:tcW w:w="2035" w:type="dxa"/>
            <w:gridSpan w:val="2"/>
            <w:vMerge w:val="continue"/>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jc w:val="center"/>
              <w:rPr>
                <w:rFonts w:ascii="仿宋_GB2312" w:eastAsia="仿宋_GB2312"/>
                <w:sz w:val="28"/>
              </w:rPr>
            </w:pPr>
            <w:r>
              <w:rPr>
                <w:rFonts w:hint="eastAsia" w:ascii="仿宋_GB2312" w:eastAsia="仿宋_GB2312"/>
                <w:sz w:val="28"/>
              </w:rPr>
              <w:t>出生年月</w:t>
            </w:r>
          </w:p>
        </w:tc>
        <w:tc>
          <w:tcPr>
            <w:tcW w:w="1984" w:type="dxa"/>
          </w:tcPr>
          <w:p>
            <w:pPr>
              <w:jc w:val="center"/>
              <w:rPr>
                <w:rFonts w:ascii="仿宋_GB2312" w:eastAsia="仿宋_GB2312"/>
                <w:sz w:val="28"/>
              </w:rPr>
            </w:pPr>
          </w:p>
        </w:tc>
        <w:tc>
          <w:tcPr>
            <w:tcW w:w="1418" w:type="dxa"/>
          </w:tcPr>
          <w:p>
            <w:pPr>
              <w:jc w:val="center"/>
              <w:rPr>
                <w:rFonts w:ascii="仿宋_GB2312" w:eastAsia="仿宋_GB2312"/>
                <w:sz w:val="28"/>
              </w:rPr>
            </w:pPr>
            <w:r>
              <w:rPr>
                <w:rFonts w:hint="eastAsia" w:ascii="仿宋_GB2312" w:eastAsia="仿宋_GB2312"/>
                <w:sz w:val="28"/>
              </w:rPr>
              <w:t>联系</w:t>
            </w:r>
            <w:r>
              <w:rPr>
                <w:rFonts w:hint="eastAsia" w:ascii="仿宋_GB2312" w:eastAsia="仿宋_GB2312"/>
                <w:sz w:val="28"/>
                <w:lang w:val="en-US" w:eastAsia="zh-CN"/>
              </w:rPr>
              <w:t>方式</w:t>
            </w:r>
          </w:p>
        </w:tc>
        <w:tc>
          <w:tcPr>
            <w:tcW w:w="1871" w:type="dxa"/>
          </w:tcPr>
          <w:p>
            <w:pPr>
              <w:jc w:val="center"/>
              <w:rPr>
                <w:rFonts w:ascii="仿宋_GB2312" w:eastAsia="仿宋_GB2312"/>
                <w:sz w:val="28"/>
              </w:rPr>
            </w:pPr>
          </w:p>
        </w:tc>
        <w:tc>
          <w:tcPr>
            <w:tcW w:w="2035" w:type="dxa"/>
            <w:gridSpan w:val="2"/>
            <w:vMerge w:val="continue"/>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jc w:val="center"/>
              <w:rPr>
                <w:rFonts w:ascii="仿宋_GB2312" w:eastAsia="仿宋_GB2312"/>
                <w:sz w:val="28"/>
              </w:rPr>
            </w:pPr>
            <w:r>
              <w:rPr>
                <w:rFonts w:hint="eastAsia" w:ascii="仿宋_GB2312" w:eastAsia="仿宋_GB2312"/>
                <w:sz w:val="28"/>
                <w:lang w:val="en-US" w:eastAsia="zh-CN"/>
              </w:rPr>
              <w:t>竞选组别</w:t>
            </w:r>
          </w:p>
        </w:tc>
        <w:tc>
          <w:tcPr>
            <w:tcW w:w="1984" w:type="dxa"/>
          </w:tcPr>
          <w:p>
            <w:pPr>
              <w:jc w:val="center"/>
              <w:rPr>
                <w:rFonts w:ascii="仿宋_GB2312" w:eastAsia="仿宋_GB2312"/>
                <w:sz w:val="28"/>
              </w:rPr>
            </w:pPr>
          </w:p>
        </w:tc>
        <w:tc>
          <w:tcPr>
            <w:tcW w:w="1418" w:type="dxa"/>
          </w:tcPr>
          <w:p>
            <w:pPr>
              <w:jc w:val="center"/>
              <w:rPr>
                <w:rFonts w:ascii="仿宋_GB2312" w:eastAsia="仿宋_GB2312"/>
                <w:sz w:val="28"/>
              </w:rPr>
            </w:pPr>
            <w:r>
              <w:rPr>
                <w:rFonts w:hint="eastAsia" w:ascii="仿宋_GB2312" w:eastAsia="仿宋_GB2312"/>
                <w:sz w:val="28"/>
                <w:lang w:val="en-US" w:eastAsia="zh-CN"/>
              </w:rPr>
              <w:t>专业</w:t>
            </w:r>
            <w:r>
              <w:rPr>
                <w:rFonts w:hint="eastAsia" w:ascii="仿宋_GB2312" w:eastAsia="仿宋_GB2312"/>
                <w:sz w:val="28"/>
              </w:rPr>
              <w:t>班级</w:t>
            </w:r>
          </w:p>
        </w:tc>
        <w:tc>
          <w:tcPr>
            <w:tcW w:w="1871" w:type="dxa"/>
          </w:tcPr>
          <w:p>
            <w:pPr>
              <w:jc w:val="center"/>
              <w:rPr>
                <w:rFonts w:ascii="仿宋_GB2312" w:eastAsia="仿宋_GB2312"/>
                <w:sz w:val="28"/>
              </w:rPr>
            </w:pPr>
          </w:p>
        </w:tc>
        <w:tc>
          <w:tcPr>
            <w:tcW w:w="2035" w:type="dxa"/>
            <w:gridSpan w:val="2"/>
            <w:vMerge w:val="continue"/>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jc w:val="center"/>
              <w:rPr>
                <w:rFonts w:hint="eastAsia" w:ascii="仿宋_GB2312" w:eastAsia="仿宋_GB2312"/>
                <w:sz w:val="28"/>
                <w:lang w:val="en-US" w:eastAsia="zh-CN"/>
              </w:rPr>
            </w:pPr>
            <w:r>
              <w:rPr>
                <w:rFonts w:hint="eastAsia" w:ascii="仿宋_GB2312" w:eastAsia="仿宋_GB2312"/>
                <w:sz w:val="28"/>
                <w:lang w:val="en-US" w:eastAsia="zh-CN"/>
              </w:rPr>
              <w:t>综测排名</w:t>
            </w:r>
          </w:p>
        </w:tc>
        <w:tc>
          <w:tcPr>
            <w:tcW w:w="1984" w:type="dxa"/>
          </w:tcPr>
          <w:p>
            <w:pPr>
              <w:jc w:val="center"/>
              <w:rPr>
                <w:rFonts w:ascii="仿宋_GB2312" w:eastAsia="仿宋_GB2312"/>
                <w:sz w:val="28"/>
              </w:rPr>
            </w:pPr>
          </w:p>
        </w:tc>
        <w:tc>
          <w:tcPr>
            <w:tcW w:w="3661" w:type="dxa"/>
            <w:gridSpan w:val="3"/>
          </w:tcPr>
          <w:p>
            <w:pPr>
              <w:jc w:val="center"/>
              <w:rPr>
                <w:rFonts w:ascii="仿宋_GB2312" w:eastAsia="仿宋_GB2312"/>
                <w:sz w:val="28"/>
              </w:rPr>
            </w:pPr>
            <w:r>
              <w:rPr>
                <w:rFonts w:hint="eastAsia" w:ascii="仿宋_GB2312" w:eastAsia="仿宋_GB2312"/>
                <w:sz w:val="28"/>
              </w:rPr>
              <w:t>近一学年有无不及格科目</w:t>
            </w:r>
          </w:p>
        </w:tc>
        <w:tc>
          <w:tcPr>
            <w:tcW w:w="1663"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5" w:hRule="atLeast"/>
        </w:trPr>
        <w:tc>
          <w:tcPr>
            <w:tcW w:w="1413" w:type="dxa"/>
            <w:vAlign w:val="center"/>
          </w:tcPr>
          <w:p>
            <w:pPr>
              <w:ind w:left="0" w:right="0"/>
              <w:jc w:val="center"/>
              <w:rPr>
                <w:rFonts w:ascii="仿宋_GB2312" w:eastAsia="仿宋_GB2312"/>
                <w:sz w:val="28"/>
              </w:rPr>
            </w:pPr>
            <w:r>
              <w:rPr>
                <w:rFonts w:hint="eastAsia" w:ascii="仿宋_GB2312" w:eastAsia="仿宋_GB2312"/>
                <w:sz w:val="28"/>
              </w:rPr>
              <w:t>任职经历</w:t>
            </w:r>
          </w:p>
        </w:tc>
        <w:tc>
          <w:tcPr>
            <w:tcW w:w="7308" w:type="dxa"/>
            <w:gridSpan w:val="5"/>
          </w:tcPr>
          <w:p>
            <w:pPr>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0" w:hRule="atLeast"/>
        </w:trPr>
        <w:tc>
          <w:tcPr>
            <w:tcW w:w="1413" w:type="dxa"/>
            <w:vAlign w:val="center"/>
          </w:tcPr>
          <w:p>
            <w:pPr>
              <w:ind w:left="0" w:right="0"/>
              <w:jc w:val="center"/>
              <w:rPr>
                <w:rFonts w:ascii="仿宋_GB2312" w:eastAsia="仿宋_GB2312"/>
                <w:sz w:val="28"/>
              </w:rPr>
            </w:pPr>
            <w:r>
              <w:rPr>
                <w:rFonts w:hint="eastAsia" w:ascii="仿宋_GB2312" w:eastAsia="仿宋_GB2312"/>
                <w:sz w:val="28"/>
              </w:rPr>
              <w:t>主要事迹</w:t>
            </w:r>
          </w:p>
        </w:tc>
        <w:tc>
          <w:tcPr>
            <w:tcW w:w="7308" w:type="dxa"/>
            <w:gridSpan w:val="5"/>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1413" w:type="dxa"/>
            <w:vAlign w:val="center"/>
          </w:tcPr>
          <w:p>
            <w:pPr>
              <w:jc w:val="center"/>
              <w:rPr>
                <w:rFonts w:hint="eastAsia" w:ascii="仿宋_GB2312" w:eastAsia="仿宋_GB2312"/>
                <w:sz w:val="28"/>
                <w:lang w:val="en-US" w:eastAsia="zh-CN"/>
              </w:rPr>
            </w:pPr>
            <w:r>
              <w:rPr>
                <w:rFonts w:hint="eastAsia" w:ascii="仿宋_GB2312" w:eastAsia="仿宋_GB2312"/>
                <w:sz w:val="28"/>
                <w:lang w:val="en-US" w:eastAsia="zh-CN"/>
              </w:rPr>
              <w:t>班级推荐意见</w:t>
            </w:r>
          </w:p>
        </w:tc>
        <w:tc>
          <w:tcPr>
            <w:tcW w:w="7308" w:type="dxa"/>
            <w:gridSpan w:val="5"/>
            <w:vAlign w:val="bottom"/>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eastAsia="仿宋_GB2312"/>
                <w:sz w:val="28"/>
                <w:lang w:val="en-US" w:eastAsia="zh-CN"/>
              </w:rPr>
            </w:pPr>
            <w:r>
              <w:rPr>
                <w:rFonts w:hint="eastAsia" w:ascii="仿宋_GB2312" w:eastAsia="仿宋_GB2312"/>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920" w:firstLineChars="1400"/>
              <w:jc w:val="both"/>
              <w:textAlignment w:val="auto"/>
              <w:outlineLvl w:val="9"/>
              <w:rPr>
                <w:rFonts w:ascii="仿宋_GB2312" w:eastAsia="仿宋_GB2312"/>
                <w:sz w:val="28"/>
              </w:rPr>
            </w:pPr>
            <w:r>
              <w:rPr>
                <w:rFonts w:hint="eastAsia" w:ascii="仿宋_GB2312" w:eastAsia="仿宋_GB2312"/>
                <w:sz w:val="28"/>
                <w:lang w:val="en-US" w:eastAsia="zh-CN"/>
              </w:rPr>
              <w:t>班级负责人</w:t>
            </w:r>
            <w:r>
              <w:rPr>
                <w:rFonts w:hint="eastAsia" w:ascii="仿宋_GB2312" w:eastAsia="仿宋_GB2312"/>
                <w:sz w:val="28"/>
                <w:lang w:eastAsia="zh-CN"/>
              </w:rPr>
              <w:t>：</w:t>
            </w:r>
            <w:r>
              <w:rPr>
                <w:rFonts w:hint="eastAsia" w:ascii="仿宋_GB2312" w:eastAsia="仿宋_GB2312"/>
                <w:sz w:val="28"/>
                <w:u w:val="single"/>
                <w:lang w:val="en-US" w:eastAsia="zh-CN"/>
              </w:rPr>
              <w:t xml:space="preserve">          </w:t>
            </w:r>
            <w:r>
              <w:rPr>
                <w:rFonts w:ascii="仿宋_GB2312" w:eastAsia="仿宋_GB2312"/>
                <w:sz w:val="28"/>
              </w:rPr>
              <w:t xml:space="preserve">      </w:t>
            </w:r>
            <w:r>
              <w:rPr>
                <w:rFonts w:hint="eastAsia" w:ascii="仿宋_GB2312" w:eastAsia="仿宋_GB2312"/>
                <w:sz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trPr>
        <w:tc>
          <w:tcPr>
            <w:tcW w:w="1413" w:type="dxa"/>
            <w:vAlign w:val="center"/>
          </w:tcPr>
          <w:p>
            <w:pPr>
              <w:jc w:val="center"/>
              <w:rPr>
                <w:rFonts w:ascii="仿宋_GB2312" w:eastAsia="仿宋_GB2312"/>
                <w:sz w:val="28"/>
              </w:rPr>
            </w:pPr>
            <w:r>
              <w:rPr>
                <w:rFonts w:hint="eastAsia" w:ascii="仿宋_GB2312" w:eastAsia="仿宋_GB2312"/>
                <w:sz w:val="28"/>
              </w:rPr>
              <w:t>学院团总支（团委）意见</w:t>
            </w:r>
          </w:p>
        </w:tc>
        <w:tc>
          <w:tcPr>
            <w:tcW w:w="7308" w:type="dxa"/>
            <w:gridSpan w:val="5"/>
            <w:vAlign w:val="bottom"/>
          </w:tcPr>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right"/>
              <w:textAlignment w:val="auto"/>
              <w:outlineLvl w:val="9"/>
              <w:rPr>
                <w:rFonts w:ascii="仿宋_GB2312" w:eastAsia="仿宋_GB2312"/>
                <w:sz w:val="28"/>
              </w:rPr>
            </w:pPr>
            <w:r>
              <w:rPr>
                <w:rFonts w:hint="eastAsia" w:ascii="仿宋_GB2312" w:eastAsia="仿宋_GB2312"/>
                <w:sz w:val="28"/>
              </w:rPr>
              <w:t xml:space="preserve">签章 </w:t>
            </w:r>
            <w:r>
              <w:rPr>
                <w:rFonts w:ascii="仿宋_GB2312" w:eastAsia="仿宋_GB2312"/>
                <w:sz w:val="28"/>
              </w:rPr>
              <w:t xml:space="preserve">       </w:t>
            </w:r>
          </w:p>
          <w:p>
            <w:pPr>
              <w:keepNext w:val="0"/>
              <w:keepLines w:val="0"/>
              <w:pageBreakBefore w:val="0"/>
              <w:widowControl w:val="0"/>
              <w:kinsoku/>
              <w:overflowPunct/>
              <w:topLinePunct w:val="0"/>
              <w:autoSpaceDE/>
              <w:autoSpaceDN/>
              <w:bidi w:val="0"/>
              <w:adjustRightInd/>
              <w:snapToGrid/>
              <w:spacing w:line="360" w:lineRule="atLeast"/>
              <w:ind w:left="0" w:leftChars="0" w:right="0" w:rightChars="0" w:firstLine="0" w:firstLineChars="0"/>
              <w:jc w:val="right"/>
              <w:textAlignment w:val="auto"/>
              <w:outlineLvl w:val="9"/>
              <w:rPr>
                <w:rFonts w:ascii="仿宋_GB2312" w:eastAsia="仿宋_GB2312"/>
                <w:sz w:val="28"/>
              </w:rPr>
            </w:pPr>
            <w:r>
              <w:rPr>
                <w:rFonts w:hint="eastAsia" w:ascii="仿宋_GB2312" w:eastAsia="仿宋_GB2312"/>
                <w:sz w:val="28"/>
              </w:rPr>
              <w:t>年   月   日</w:t>
            </w:r>
          </w:p>
        </w:tc>
      </w:tr>
    </w:tbl>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32"/>
          <w:szCs w:val="32"/>
          <w:lang w:val="en-US" w:eastAsia="zh-CN"/>
        </w:rPr>
      </w:pPr>
    </w:p>
    <w:sectPr>
      <w:pgSz w:w="11906" w:h="16838"/>
      <w:pgMar w:top="1531"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50E77"/>
    <w:multiLevelType w:val="singleLevel"/>
    <w:tmpl w:val="5AF50E77"/>
    <w:lvl w:ilvl="0" w:tentative="0">
      <w:start w:val="1"/>
      <w:numFmt w:val="chineseCounting"/>
      <w:suff w:val="space"/>
      <w:lvlText w:val="（%1）"/>
      <w:lvlJc w:val="left"/>
    </w:lvl>
  </w:abstractNum>
  <w:abstractNum w:abstractNumId="1">
    <w:nsid w:val="5AF51422"/>
    <w:multiLevelType w:val="singleLevel"/>
    <w:tmpl w:val="5AF51422"/>
    <w:lvl w:ilvl="0" w:tentative="0">
      <w:start w:val="1"/>
      <w:numFmt w:val="chineseCounting"/>
      <w:suff w:val="nothing"/>
      <w:lvlText w:val="（%1）"/>
      <w:lvlJc w:val="left"/>
    </w:lvl>
  </w:abstractNum>
  <w:abstractNum w:abstractNumId="2">
    <w:nsid w:val="5AF57980"/>
    <w:multiLevelType w:val="singleLevel"/>
    <w:tmpl w:val="5AF57980"/>
    <w:lvl w:ilvl="0" w:tentative="0">
      <w:start w:val="4"/>
      <w:numFmt w:val="chineseCounting"/>
      <w:suff w:val="nothing"/>
      <w:lvlText w:val="%1、"/>
      <w:lvlJc w:val="left"/>
    </w:lvl>
  </w:abstractNum>
  <w:abstractNum w:abstractNumId="3">
    <w:nsid w:val="5AF583D9"/>
    <w:multiLevelType w:val="singleLevel"/>
    <w:tmpl w:val="5AF583D9"/>
    <w:lvl w:ilvl="0" w:tentative="0">
      <w:start w:val="6"/>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B2F28"/>
    <w:rsid w:val="0DF521C6"/>
    <w:rsid w:val="14C57C3A"/>
    <w:rsid w:val="24F24FA7"/>
    <w:rsid w:val="3E0B5E08"/>
    <w:rsid w:val="47282B63"/>
    <w:rsid w:val="4F244BAF"/>
    <w:rsid w:val="55C95371"/>
    <w:rsid w:val="61613F64"/>
    <w:rsid w:val="63E7403E"/>
    <w:rsid w:val="6B9C5681"/>
    <w:rsid w:val="6BF90938"/>
    <w:rsid w:val="789A5432"/>
    <w:rsid w:val="7A192B4F"/>
    <w:rsid w:val="7F3E463A"/>
    <w:rsid w:val="7FE80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八十八夜的茶摘</cp:lastModifiedBy>
  <dcterms:modified xsi:type="dcterms:W3CDTF">2018-05-11T12:06:12Z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